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rPr>
      </w:pPr>
      <w:r w:rsidDel="00000000" w:rsidR="00000000" w:rsidRPr="00000000">
        <w:rPr>
          <w:rFonts w:ascii="Arial" w:cs="Arial" w:eastAsia="Arial" w:hAnsi="Arial"/>
          <w:rtl w:val="0"/>
        </w:rPr>
        <w:t xml:space="preserve">L’ “Italian Certified Advisor IICUAE” è un progetto istituzionale a cura della Camera di Commercio italiana negli Emirati Arabi che ha l’obiettivo di formare e certificare Professionisti in grado di fornire consulenza e supporto alle Imprese italiane interessate all’intera Area del Golfo. </w:t>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rtl w:val="0"/>
        </w:rPr>
        <w:t xml:space="preserve">Lo Studio legale Arena si fregia di essere parte di questo importante progetto, con la nomina ufficiale di Italian Certified Advisor della referente, Zaira Niaty, negoziatore strategico professionista in sistemi di risoluzione stragiudiziale</w:t>
      </w:r>
      <w:r w:rsidDel="00000000" w:rsidR="00000000" w:rsidRPr="00000000">
        <w:rPr>
          <w:rtl w:val="0"/>
        </w:rPr>
        <w:t xml:space="preserve">, </w:t>
      </w:r>
      <w:r w:rsidDel="00000000" w:rsidR="00000000" w:rsidRPr="00000000">
        <w:rPr>
          <w:rFonts w:ascii="Arial" w:cs="Arial" w:eastAsia="Arial" w:hAnsi="Arial"/>
          <w:rtl w:val="0"/>
        </w:rPr>
        <w:t xml:space="preserve">nonché giurista esperta in </w:t>
      </w:r>
      <w:r w:rsidDel="00000000" w:rsidR="00000000" w:rsidRPr="00000000">
        <w:rPr>
          <w:rFonts w:ascii="Arial" w:cs="Arial" w:eastAsia="Arial" w:hAnsi="Arial"/>
          <w:i w:val="1"/>
          <w:iCs w:val="1"/>
          <w:rtl w:val="0"/>
        </w:rPr>
        <w:t xml:space="preserve">Consumer and Business Law and Legal Protection &amp; Business and Consumer Contracts </w:t>
      </w:r>
      <w:r w:rsidDel="00000000" w:rsidR="00000000" w:rsidRPr="00000000">
        <w:rPr>
          <w:rFonts w:ascii="Arial" w:cs="Arial" w:eastAsia="Arial" w:hAnsi="Arial"/>
          <w:rtl w:val="0"/>
        </w:rPr>
        <w:t xml:space="preserve">comparati.</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L’adesione al progetto rappresenta una stimolante opportunità per lo Studio, al fine di offrire sostegno e contributo, in partnership con primari studi legali internazionali, alla crescita, allo sviluppo e all’internazionalizzazione delle Imprese della Calabria, e della Provincia di Catanzaro e Crotone e, in particolar modo, del territorio di Lamezia Terme e del suo vasto hinterland, favorendo così un ponte di collegamento con gli Emirati Arabi Uniti e gli altri Paesi membri del Gulf Cooperation Council (GCC). Per lo studio è un vanto avere la sede in Lamezia Terme, luogo baricentrico naturale, con posizione strategica per la Calabria. Lamezia, infatti, è notoriamente riconosciuta come centro nevralgico per gli importanti scambi economici e commerciali, sia per la presenza del rilevante scalo aeroportuale internazionale che, per la presenza del nodo autostradale (A3- Autostrada del Sole) e dello scalo ferroviario denominato Lamezia Terme Centrale.</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Per questo abbiamo inteso voler mettere a disposizione del progetto le nostre risorse, le nostre competenze, la nostra serietà e il nostro rigore professionale maturati in oltre vent’anni di attività nell’ambito anche della consulenza legale e commerciale, della rappresentanza e dell’assistenza stragiudiziale e giudiziale in favore di imprese, privati, enti pubblici e consumatori; oltre all’entusiasmo nell’iniziativa, alla determinazione e all’energia necessarie per perseguire gli obiettivi che si presenteranno, desiderosi di estendere le nostre competenze e il nostro raggio di azione, a fianco dei clienti, attraverso la partnership con la Camera di Commercio Italiana negli Emirati Arabi Uniti. </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Attraverso il progetto “Italian Certified Advisor IICUAE” riteniamo inoltre di poter mettere a disposizione anche delle imprese e degli investitori degli Emirati Arabi Uniti e degli altri Paesi del Golfo Arabo aderenti al GCC, interessati ad allacciare relazioni commerciali e industriali con aziende italiane, o ad effettuare investimenti in Italia, le competenze professionali del nostro studio circa l’ordinamento giuridico italiano, integrate da quelle di primari studi italiani a vocazione internazionale, oltreché le consolidate relazioni con istituzioni pubbliche e private derivanti dalla nostra presenza ultraventennale sul territorio.</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Componenti:</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Avv. Giovanni Arena</w:t>
      </w:r>
    </w:p>
    <w:p w:rsidR="00000000" w:rsidDel="00000000" w:rsidP="00000000" w:rsidRDefault="00000000" w:rsidRPr="00000000" w14:paraId="00000009">
      <w:pPr>
        <w:jc w:val="both"/>
        <w:rPr>
          <w:rFonts w:ascii="Arial" w:cs="Arial" w:eastAsia="Arial" w:hAnsi="Arial"/>
          <w:i w:val="1"/>
          <w:iCs w:val="1"/>
        </w:rPr>
      </w:pPr>
      <w:r w:rsidDel="00000000" w:rsidR="00000000" w:rsidRPr="00000000">
        <w:rPr>
          <w:rFonts w:ascii="Arial" w:cs="Arial" w:eastAsia="Arial" w:hAnsi="Arial"/>
          <w:i w:val="1"/>
          <w:iCs w:val="1"/>
          <w:rtl w:val="0"/>
        </w:rPr>
        <w:t xml:space="preserve">Docente a contratto SSPF presso Università di Magna Grecia di Catanzaro </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Avv. Mariacristina Mazzei</w:t>
      </w:r>
    </w:p>
    <w:p w:rsidR="00000000" w:rsidDel="00000000" w:rsidP="00000000" w:rsidRDefault="00000000" w:rsidRPr="00000000" w14:paraId="0000000B">
      <w:pPr>
        <w:jc w:val="both"/>
        <w:rPr>
          <w:rFonts w:ascii="Arial" w:cs="Arial" w:eastAsia="Arial" w:hAnsi="Arial"/>
          <w:i w:val="1"/>
          <w:iCs w:val="1"/>
        </w:rPr>
      </w:pPr>
      <w:r w:rsidDel="00000000" w:rsidR="00000000" w:rsidRPr="00000000">
        <w:rPr>
          <w:rFonts w:ascii="Arial" w:cs="Arial" w:eastAsia="Arial" w:hAnsi="Arial"/>
          <w:i w:val="1"/>
          <w:iCs w:val="1"/>
          <w:rtl w:val="0"/>
        </w:rPr>
        <w:t xml:space="preserve">Esperta in Diritto Immobiliare</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Avv.  Zaira Niaty</w:t>
      </w:r>
    </w:p>
    <w:p w:rsidR="00000000" w:rsidDel="00000000" w:rsidP="00000000" w:rsidRDefault="00000000" w:rsidRPr="00000000" w14:paraId="0000000D">
      <w:pPr>
        <w:jc w:val="both"/>
        <w:rPr>
          <w:rFonts w:ascii="Arial" w:cs="Arial" w:eastAsia="Arial" w:hAnsi="Arial"/>
          <w:i w:val="1"/>
          <w:iCs w:val="1"/>
        </w:rPr>
      </w:pPr>
      <w:r w:rsidDel="00000000" w:rsidR="00000000" w:rsidRPr="00000000">
        <w:rPr>
          <w:rFonts w:ascii="Arial" w:cs="Arial" w:eastAsia="Arial" w:hAnsi="Arial"/>
          <w:i w:val="1"/>
          <w:iCs w:val="1"/>
          <w:rtl w:val="0"/>
        </w:rPr>
        <w:t xml:space="preserve">Negoziatore strategico professionista in sistemi di risoluzione stragiudiziale e giurista esperta in Consumer and Business Law and Legal Protection &amp; Business and Consumer Contracts comparato</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Dott.ssa Kitsy Niaty</w:t>
      </w:r>
    </w:p>
    <w:p w:rsidR="00000000" w:rsidDel="00000000" w:rsidP="00000000" w:rsidRDefault="00000000" w:rsidRPr="00000000" w14:paraId="0000000F">
      <w:pPr>
        <w:jc w:val="both"/>
        <w:rPr>
          <w:rFonts w:ascii="Arial" w:cs="Arial" w:eastAsia="Arial" w:hAnsi="Arial"/>
          <w:i w:val="1"/>
          <w:iCs w:val="1"/>
        </w:rPr>
      </w:pPr>
      <w:r w:rsidDel="00000000" w:rsidR="00000000" w:rsidRPr="00000000">
        <w:rPr>
          <w:rFonts w:ascii="Arial" w:cs="Arial" w:eastAsia="Arial" w:hAnsi="Arial"/>
          <w:i w:val="1"/>
          <w:iCs w:val="1"/>
          <w:rtl w:val="0"/>
        </w:rPr>
        <w:t xml:space="preserve">Dottore Commercialista e Revisore contabile – Dottore di ricerca con European Master’s degree in Storia e comparazione delle istituzioni politiche e giuridiche dei paesi del Mediterraneo. </w:t>
        <w:tab/>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Avv. Sandro Scalese </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Avv. Francesco de’ Medici</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drawing>
        <wp:inline distB="0" distT="0" distL="0" distR="0">
          <wp:extent cx="2581275" cy="1628775"/>
          <wp:effectExtent b="0" l="0" r="0" t="0"/>
          <wp:docPr descr="Immagine che contiene Carattere, design, tipografia&#10;&#10;Il contenuto generato dall'IA potrebbe non essere corretto." id="1" name="image1.png"/>
          <a:graphic>
            <a:graphicData uri="http://schemas.openxmlformats.org/drawingml/2006/picture">
              <pic:pic>
                <pic:nvPicPr>
                  <pic:cNvPr descr="Immagine che contiene Carattere, design, tipografia&#10;&#10;Il contenuto generato dall'IA potrebbe non essere corretto." id="0" name="image1.png"/>
                  <pic:cNvPicPr preferRelativeResize="0"/>
                </pic:nvPicPr>
                <pic:blipFill>
                  <a:blip r:embed="rId1"/>
                  <a:srcRect b="0" l="0" r="0" t="0"/>
                  <a:stretch>
                    <a:fillRect/>
                  </a:stretch>
                </pic:blipFill>
                <pic:spPr>
                  <a:xfrm>
                    <a:off x="0" y="0"/>
                    <a:ext cx="2581275" cy="162877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