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E8D1" w14:textId="7ADF68E4" w:rsidR="004753B2" w:rsidRPr="004753B2" w:rsidRDefault="004753B2" w:rsidP="004753B2">
      <w:pPr>
        <w:spacing w:after="0" w:line="460" w:lineRule="exact"/>
        <w:jc w:val="center"/>
        <w:outlineLvl w:val="3"/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COMPANY PROFILE</w:t>
      </w:r>
    </w:p>
    <w:p w14:paraId="7F039ABC" w14:textId="54135825" w:rsidR="00A6770D" w:rsidRPr="00A6770D" w:rsidRDefault="00A6770D" w:rsidP="00A6770D">
      <w:pPr>
        <w:spacing w:after="0" w:line="460" w:lineRule="exact"/>
        <w:jc w:val="both"/>
        <w:outlineLvl w:val="3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 xml:space="preserve">Lo </w:t>
      </w: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tudio 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Associato Accarino</w:t>
      </w:r>
    </w:p>
    <w:p w14:paraId="78F57595" w14:textId="7EBDF369" w:rsidR="00A6770D" w:rsidRPr="00A6770D" w:rsidRDefault="00A6770D" w:rsidP="004753B2">
      <w:pPr>
        <w:spacing w:after="0" w:line="460" w:lineRule="exact"/>
        <w:jc w:val="both"/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La storia</w:t>
      </w:r>
    </w:p>
    <w:p w14:paraId="4CC94E13" w14:textId="6CD9C207" w:rsidR="00A53202" w:rsidRPr="004753B2" w:rsidRDefault="00A53202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Lo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Studio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Accarino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è stato f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ondato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nel 1975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dall’Avv. Francesco Accarino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ed ha da sempre r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appresenta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to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un punto di riferimento tra gli studi legali di Salerno e provincia per tutto ciò che concerne l’attività di consulenza e contenzioso nella disciplina del diritto amministrativo.</w:t>
      </w:r>
    </w:p>
    <w:p w14:paraId="5E72B649" w14:textId="2BDAA5EA" w:rsidR="00762579" w:rsidRPr="004753B2" w:rsidRDefault="00762579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Nello spirito di continuità e crescita professionale, lo studio</w:t>
      </w:r>
      <w:r w:rsid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, nel 2016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ha evoluto la sua struttura da individuale ad associata con l'ingresso dell'</w:t>
      </w:r>
      <w:r w:rsidRPr="004753B2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Avvocato Paolo Accarino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, che ha affiancato il fondatore, l'</w:t>
      </w:r>
      <w:r w:rsidRPr="004753B2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Avvocato Francesco Accarino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. Questa collaborazione ha permesso di integrare nuove prospettive e specializzazioni, garantendo un'assistenza legale completa e aggiornata, in continuità con la tradizione di competenza e affidabilità.</w:t>
      </w:r>
    </w:p>
    <w:p w14:paraId="61C51088" w14:textId="540FB877" w:rsidR="00A53202" w:rsidRDefault="00A53202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Lo studio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ha</w:t>
      </w:r>
      <w:r w:rsid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assist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ito le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amministrazioni pubbliche e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i 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soggetti privati nelle materie dell’urbanistica, dell’edilizia, del commercio, dei rapporti di autorizzazione e concessione per quanto concerne la pubblica amministrazione, del diritto degli enti locali, della tutela del paesaggio, delle espropriazioni, dei lavori pubblici e degli appalti, insediamenti industriali, Corte dei Conti.</w:t>
      </w:r>
    </w:p>
    <w:p w14:paraId="22D797B2" w14:textId="0E6DC262" w:rsidR="00A6770D" w:rsidRPr="00A6770D" w:rsidRDefault="00A6770D" w:rsidP="004753B2">
      <w:pPr>
        <w:spacing w:after="0" w:line="460" w:lineRule="exact"/>
        <w:jc w:val="both"/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I Soci fondatori</w:t>
      </w:r>
    </w:p>
    <w:p w14:paraId="2BDFC32D" w14:textId="3C109717" w:rsidR="00A53202" w:rsidRDefault="00A53202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b/>
          <w:bCs/>
          <w:caps/>
          <w:color w:val="3C3C3B"/>
          <w:kern w:val="0"/>
          <w:sz w:val="22"/>
          <w:szCs w:val="22"/>
          <w:lang w:eastAsia="it-IT"/>
          <w14:ligatures w14:val="none"/>
        </w:rPr>
        <w:t>L’</w:t>
      </w:r>
      <w:r w:rsidRPr="00A53202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Avvocato Francesco Accarino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è abilitato al p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atrocinio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legale presso le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giurisdizioni superiori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ed 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sercita l’attività di avvocato nel settore del diritto amministrativo da più di </w:t>
      </w:r>
      <w:r w:rsid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cinquant’anni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, in favore di privati, Società ed Enti.</w:t>
      </w:r>
    </w:p>
    <w:p w14:paraId="6C796BE6" w14:textId="1E938B0E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Si è l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aurea in giurisprudenza presso l’Università Federico II di Napoli il 19 luglio 1971.</w:t>
      </w:r>
    </w:p>
    <w:p w14:paraId="2B777861" w14:textId="6C12118F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Ha frequentato le scuole di specializzazione di Diritto e Procedura Penale e in Diritto Amministrativo.</w:t>
      </w:r>
    </w:p>
    <w:p w14:paraId="2151D8D6" w14:textId="6E7957B3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Dall’anno accademico 1973/74 è</w:t>
      </w: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stato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componente delle Commissioni di esame di Diritto Amministrativo e di Contabilità di Stato e degli Enti Pubblici presso la Facoltà di Giurisprudenza della Università degli studi di Salerno.</w:t>
      </w:r>
    </w:p>
    <w:p w14:paraId="072F9655" w14:textId="2B72BEE5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È 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stato incaricato dei corsi di esercitazione per studenti presso la Cattedra di Diritto Amministrativo della Facoltà di Giurisprudenza dell’Università di Salerno dall’anno accademico 1974/75 al 1982/83.</w:t>
      </w:r>
    </w:p>
    <w:p w14:paraId="5EADABC3" w14:textId="77777777" w:rsid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lastRenderedPageBreak/>
        <w:t>Ha partecipato ai corsi per Formatori dei quadri Dirigenti degli enti Pubblici, organizzati dall’ISGO di Milano unitamente al Formez.</w:t>
      </w:r>
    </w:p>
    <w:p w14:paraId="67AEA646" w14:textId="0177741A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È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stato autore di un caso didattico, pubblicato nei quaderni del Formez (l’Ente Pubblico in azione).</w:t>
      </w:r>
    </w:p>
    <w:p w14:paraId="21294031" w14:textId="58325494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Ha redatto una pubblicazione sul Piano urbanistico territoriale della penisola sorrentino Amalfitana, ha curato la pubblicazione dello Statuto Comunale di Cava dei Tirreni.</w:t>
      </w:r>
    </w:p>
    <w:p w14:paraId="29B5C82E" w14:textId="0DD9F9F3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È 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coautore della Raccolta delle Leggi Regionali della Campania a schede mobili, pubblicate da </w:t>
      </w:r>
      <w:proofErr w:type="spellStart"/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Ediguida</w:t>
      </w:r>
      <w:proofErr w:type="spellEnd"/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.</w:t>
      </w:r>
    </w:p>
    <w:p w14:paraId="0AA4EF41" w14:textId="07B75932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Procuratore legale dal 1975, avvocato dal 1981, patrocinante innanzi alle giurisdizioni superiori dal 1989.</w:t>
      </w:r>
    </w:p>
    <w:p w14:paraId="376E9DD9" w14:textId="026EAD7E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E iscritto alla società italiana degli avvocati amministrativisti. </w:t>
      </w: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È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Vice Presidente dell’Associazione Salernitana degli avvocati amministrativisti.</w:t>
      </w:r>
    </w:p>
    <w:p w14:paraId="08554ECD" w14:textId="2A1C2191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Consigliere dell’Ordine degli Avvocati di Salerno nel biennio 1988/89 e nel biennio 1992/93.</w:t>
      </w:r>
    </w:p>
    <w:p w14:paraId="216F6FB6" w14:textId="36D1CFC2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È s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tato componente della Commissione per gli esami di procuratore legale presso la Corte di Appello di Salerno nella sessione 1989 e nella sessione 1992.</w:t>
      </w:r>
    </w:p>
    <w:p w14:paraId="4334B9A9" w14:textId="5ECB77A5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Dal 31 agosto 1995 al 31 marzo 2001 è stato componente e vice presidente</w:t>
      </w:r>
      <w:r w:rsidR="00194390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del Comitato Regionale di Controllo della Regione Campania su designazione del Consiglio dell’Ordine degli Avvocati e Procuratori di Salerno.</w:t>
      </w:r>
    </w:p>
    <w:p w14:paraId="5965F76F" w14:textId="3EB9D47A" w:rsidR="00A6770D" w:rsidRP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È stato</w:t>
      </w: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professore a contratto, presso l’Università degli studi di Salerno, Scuola di specializzazione in professioni forensi, per l’anno accademico 2002/2003, per la materia Dritto Amministrativo.</w:t>
      </w:r>
    </w:p>
    <w:p w14:paraId="11DC0B62" w14:textId="37D24DCB" w:rsidR="00A6770D" w:rsidRDefault="00A6770D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A6770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Ha insegnato diritto pubblico e diritto amministrativo in corsi di qualificazione e riqualificazione del personale del Ministero delle Finanze e di Enti pubblici, in corsi di preparazione alla politica della CEI.</w:t>
      </w:r>
    </w:p>
    <w:p w14:paraId="2B9F35ED" w14:textId="7A8F1953" w:rsidR="00194390" w:rsidRPr="00A53202" w:rsidRDefault="00194390" w:rsidP="00A6770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È stato coautore del Codice sistematico del processo amministrativo a cura di Sergio </w:t>
      </w:r>
      <w:proofErr w:type="spellStart"/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Perongini</w:t>
      </w:r>
      <w:proofErr w:type="spellEnd"/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, Alfredo Contieri, Luca R. Perfetti, pubblicato da Giappichelli editore, pubblicato nel dicembre 2024.</w:t>
      </w:r>
    </w:p>
    <w:p w14:paraId="424F52DD" w14:textId="0D40A983" w:rsidR="00A53202" w:rsidRDefault="00A53202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L’avvocato</w:t>
      </w:r>
      <w:r w:rsidR="00762579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F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rancesco Accarino ha </w:t>
      </w:r>
      <w:r w:rsidR="00762579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maturato 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sperienz</w:t>
      </w:r>
      <w:r w:rsidR="00762579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r w:rsidR="00762579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in campo 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giudiziale innanzi: Corte di Cassazione, Consiglio di Stato, Corte dei Conti, Tribunale superiore Acque Pubbliche, Tribunali amministrativi Regionali – Campania, Lazio, Toscana, Piemonte, Basilicata, 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lastRenderedPageBreak/>
        <w:t>Tribunale Regionale Acque Pubbliche, Corti di Appello, Commissioni Tributarie Provinciali e Regionali.</w:t>
      </w:r>
    </w:p>
    <w:p w14:paraId="3E574BEC" w14:textId="77777777" w:rsidR="0048042D" w:rsidRDefault="0048042D" w:rsidP="0048042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L’Avvocato Francesco Accarino è particolarmente attivo nel settore associativo e del service dedicandosi a migliorare la comunità a livello locale e globale. </w:t>
      </w:r>
    </w:p>
    <w:p w14:paraId="36087A78" w14:textId="77777777" w:rsidR="0048042D" w:rsidRDefault="0048042D" w:rsidP="0048042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Appartenente al Lions Club international dal </w:t>
      </w: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1983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è stato </w:t>
      </w: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Governatore Distrettuale nell’anno sociale 2021/2022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.</w:t>
      </w:r>
    </w:p>
    <w:p w14:paraId="7E4F3059" w14:textId="77777777" w:rsidR="0048042D" w:rsidRDefault="0048042D" w:rsidP="0048042D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Nel corso dell’esperienza associativa ha partecipato ed ha diretto i corsi di formazione nazionali e internazionali.</w:t>
      </w:r>
    </w:p>
    <w:p w14:paraId="4BA3AF17" w14:textId="091BE8AA" w:rsidR="0048042D" w:rsidRPr="0048042D" w:rsidRDefault="0048042D" w:rsidP="0048042D">
      <w:pPr>
        <w:spacing w:after="0" w:line="460" w:lineRule="exact"/>
        <w:jc w:val="both"/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</w:pPr>
      <w:r w:rsidRPr="0048042D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I clienti</w:t>
      </w:r>
    </w:p>
    <w:p w14:paraId="782AC6FE" w14:textId="1628AE30" w:rsidR="00A53202" w:rsidRPr="004753B2" w:rsidRDefault="00762579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L’avvocato Francesco Accarino è stato d</w:t>
      </w:r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ifensore e/o consulente di Enti pubblici e privati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. Tra i tanti si annoverano: </w:t>
      </w:r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(Asl Sa 1, AOL S. Giovanni di Dio e Ruggi D’Aragona, ASL SA, Consorzio Area di Sviluppo industriale di SA, Consorzio Acquedotti Ausino, Ausino Spa, </w:t>
      </w:r>
      <w:proofErr w:type="spellStart"/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Se.T.A</w:t>
      </w:r>
      <w:proofErr w:type="spellEnd"/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. S.p.a., Regione Campania, Comuni di Salerno, Nocera Inferiore, Amalfi, Minori, Positano, Sarno, Siano,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Castel San Giorgio, Angri, </w:t>
      </w:r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Pontecagnano-Faiano, Pellezzano, Olivetti Spa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; tra i privati </w:t>
      </w:r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Brancaccio Costruzioni, Società Autostrade Meridionali, Eden Red, Green Power, IVPC Power, Federfarma Campania, Petti </w:t>
      </w:r>
      <w:proofErr w:type="spellStart"/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S.p.a</w:t>
      </w:r>
      <w:proofErr w:type="spellEnd"/>
      <w:r w:rsidR="00A53202"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,).</w:t>
      </w:r>
    </w:p>
    <w:p w14:paraId="29DE1AE1" w14:textId="31B069CF" w:rsidR="00A315FB" w:rsidRPr="004753B2" w:rsidRDefault="00762579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4753B2">
        <w:rPr>
          <w:rFonts w:ascii="Helvetica" w:hAnsi="Helvetica"/>
          <w:b/>
          <w:bCs/>
          <w:sz w:val="22"/>
          <w:szCs w:val="22"/>
        </w:rPr>
        <w:t>L’a</w:t>
      </w:r>
      <w:r w:rsidR="0048042D">
        <w:rPr>
          <w:rFonts w:ascii="Helvetica" w:hAnsi="Helvetica"/>
          <w:b/>
          <w:bCs/>
          <w:sz w:val="22"/>
          <w:szCs w:val="22"/>
        </w:rPr>
        <w:t>v</w:t>
      </w:r>
      <w:r w:rsidRPr="004753B2">
        <w:rPr>
          <w:rFonts w:ascii="Helvetica" w:hAnsi="Helvetica"/>
          <w:b/>
          <w:bCs/>
          <w:sz w:val="22"/>
          <w:szCs w:val="22"/>
        </w:rPr>
        <w:t>vocato Paolo Accarino</w:t>
      </w:r>
      <w:r w:rsidRPr="004753B2">
        <w:rPr>
          <w:rFonts w:ascii="Helvetica" w:hAnsi="Helvetica"/>
          <w:sz w:val="22"/>
          <w:szCs w:val="22"/>
        </w:rPr>
        <w:t xml:space="preserve">, </w:t>
      </w:r>
      <w:r w:rsidR="00A315FB" w:rsidRPr="004753B2">
        <w:rPr>
          <w:rFonts w:ascii="Helvetica" w:hAnsi="Helvetica"/>
          <w:sz w:val="22"/>
          <w:szCs w:val="22"/>
        </w:rPr>
        <w:t>socio fondatore dello Studio nella nuova compagine associativa, è abilitato al patrocinio legale presso le giurisdizioni superiori.</w:t>
      </w:r>
    </w:p>
    <w:p w14:paraId="305302F8" w14:textId="1FA73ECA" w:rsidR="00955E53" w:rsidRPr="004753B2" w:rsidRDefault="00A315FB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4753B2">
        <w:rPr>
          <w:rFonts w:ascii="Helvetica" w:hAnsi="Helvetica"/>
          <w:sz w:val="22"/>
          <w:szCs w:val="22"/>
        </w:rPr>
        <w:t>N</w:t>
      </w:r>
      <w:r w:rsidR="00762579" w:rsidRPr="004753B2">
        <w:rPr>
          <w:rFonts w:ascii="Helvetica" w:hAnsi="Helvetica"/>
          <w:sz w:val="22"/>
          <w:szCs w:val="22"/>
        </w:rPr>
        <w:t>el segno della tradizione familiare, si è laureato</w:t>
      </w:r>
      <w:r w:rsidR="00955E53" w:rsidRPr="004753B2">
        <w:rPr>
          <w:rFonts w:ascii="Helvetica" w:hAnsi="Helvetica"/>
          <w:sz w:val="22"/>
          <w:szCs w:val="22"/>
        </w:rPr>
        <w:t xml:space="preserve"> in giurisprudenza presso l’Università degli Studi Suor Orsola Benincasa-Napoli, con laurea in diritto internazionale dal titolo: La tutela dei diritti umani “La Convenzione Europea”.</w:t>
      </w:r>
    </w:p>
    <w:p w14:paraId="53018A00" w14:textId="473CAF05" w:rsidR="00955E53" w:rsidRPr="004753B2" w:rsidRDefault="00955E53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955E53">
        <w:rPr>
          <w:rFonts w:ascii="Helvetica" w:hAnsi="Helvetica"/>
          <w:sz w:val="22"/>
          <w:szCs w:val="22"/>
        </w:rPr>
        <w:t xml:space="preserve">Il tema della tutela dei diritti umani di carattere multidisciplinare è stato trattato non solo sotto il profilo del diritto internazionale, ma anche sotto il pirofilo del diritto costituzione e del diritto </w:t>
      </w:r>
      <w:r w:rsidR="00082147" w:rsidRPr="004753B2">
        <w:rPr>
          <w:rFonts w:ascii="Helvetica" w:hAnsi="Helvetica"/>
          <w:sz w:val="22"/>
          <w:szCs w:val="22"/>
        </w:rPr>
        <w:t>pubblico. Le</w:t>
      </w:r>
      <w:r w:rsidRPr="004753B2">
        <w:rPr>
          <w:rFonts w:ascii="Helvetica" w:hAnsi="Helvetica"/>
          <w:sz w:val="22"/>
          <w:szCs w:val="22"/>
        </w:rPr>
        <w:t xml:space="preserve"> principali</w:t>
      </w:r>
      <w:r w:rsidR="00082147" w:rsidRPr="004753B2">
        <w:rPr>
          <w:rFonts w:ascii="Helvetica" w:hAnsi="Helvetica"/>
          <w:sz w:val="22"/>
          <w:szCs w:val="22"/>
        </w:rPr>
        <w:t xml:space="preserve"> </w:t>
      </w:r>
      <w:r w:rsidRPr="004753B2">
        <w:rPr>
          <w:rFonts w:ascii="Helvetica" w:hAnsi="Helvetica"/>
          <w:sz w:val="22"/>
          <w:szCs w:val="22"/>
        </w:rPr>
        <w:t>tematic</w:t>
      </w:r>
      <w:r w:rsidR="00082147" w:rsidRPr="004753B2">
        <w:rPr>
          <w:rFonts w:ascii="Helvetica" w:hAnsi="Helvetica"/>
          <w:sz w:val="22"/>
          <w:szCs w:val="22"/>
        </w:rPr>
        <w:t>he affrontate sono state</w:t>
      </w:r>
      <w:r w:rsidRPr="004753B2">
        <w:rPr>
          <w:rFonts w:ascii="Helvetica" w:hAnsi="Helvetica"/>
          <w:sz w:val="22"/>
          <w:szCs w:val="22"/>
        </w:rPr>
        <w:t xml:space="preserve"> i limiti della tutela dei diritti umani nel contesto dell’ordinamento internazionale, il rapporto tra ordinamento interno e Convenzione europea dei diritti dell’uomo in relazione al ruolo della regola pattizia sovranazionale; il rapporto tra Convenzione europea dei diritti dell’uomo ed ordinamento comunitario in relazione alla funzione della Convenzione nell’ordinamento europeo ed ai relativi effetti in rapporto tra i singoli Stati della Comunità Europea.. </w:t>
      </w:r>
    </w:p>
    <w:p w14:paraId="4E90C35A" w14:textId="5CEAF622" w:rsidR="00955E53" w:rsidRPr="004753B2" w:rsidRDefault="00955E53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4753B2">
        <w:rPr>
          <w:rFonts w:ascii="Helvetica" w:hAnsi="Helvetica"/>
          <w:sz w:val="22"/>
          <w:szCs w:val="22"/>
        </w:rPr>
        <w:lastRenderedPageBreak/>
        <w:t xml:space="preserve">Nel corso dei propri studi universitari </w:t>
      </w:r>
      <w:r w:rsidR="00082147" w:rsidRPr="004753B2">
        <w:rPr>
          <w:rFonts w:ascii="Helvetica" w:hAnsi="Helvetica"/>
          <w:sz w:val="22"/>
          <w:szCs w:val="22"/>
        </w:rPr>
        <w:t xml:space="preserve">ha partecipato al progetto Erasmus presso la facoltà di Diritto dell’Università Paris 1-Pantheon-Sorbonne di Parigi, partecipando ai lavori proposti dall’ </w:t>
      </w:r>
      <w:proofErr w:type="spellStart"/>
      <w:r w:rsidR="00082147" w:rsidRPr="004753B2">
        <w:rPr>
          <w:rFonts w:ascii="Helvetica" w:hAnsi="Helvetica"/>
          <w:sz w:val="22"/>
          <w:szCs w:val="22"/>
        </w:rPr>
        <w:t>Unef</w:t>
      </w:r>
      <w:proofErr w:type="spellEnd"/>
      <w:r w:rsidR="00082147" w:rsidRPr="004753B2">
        <w:rPr>
          <w:rFonts w:ascii="Helvetica" w:hAnsi="Helvetica"/>
          <w:sz w:val="22"/>
          <w:szCs w:val="22"/>
        </w:rPr>
        <w:t xml:space="preserve"> e </w:t>
      </w:r>
      <w:proofErr w:type="spellStart"/>
      <w:r w:rsidR="00082147" w:rsidRPr="004753B2">
        <w:rPr>
          <w:rFonts w:ascii="Helvetica" w:hAnsi="Helvetica"/>
          <w:sz w:val="22"/>
          <w:szCs w:val="22"/>
        </w:rPr>
        <w:t>Bde</w:t>
      </w:r>
      <w:proofErr w:type="spellEnd"/>
      <w:r w:rsidR="00082147" w:rsidRPr="004753B2">
        <w:rPr>
          <w:rFonts w:ascii="Helvetica" w:hAnsi="Helvetica"/>
          <w:sz w:val="22"/>
          <w:szCs w:val="22"/>
        </w:rPr>
        <w:t>, ed a seminari internazionali organizzati dall’UAE: La Costituzione Europea; I diritti fondamentali; Il processo amministrativo nell’Unione Europea; Il titolo esecutivo Europeo; Le vittime nello spazio europeo a Marsiglia; in Lussemburgo; e sul territorio nazionale.</w:t>
      </w:r>
    </w:p>
    <w:p w14:paraId="3A57FD6C" w14:textId="3809353B" w:rsidR="0093402D" w:rsidRPr="004753B2" w:rsidRDefault="00082147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4753B2">
        <w:rPr>
          <w:rFonts w:ascii="Helvetica" w:hAnsi="Helvetica"/>
          <w:b/>
          <w:bCs/>
          <w:sz w:val="22"/>
          <w:szCs w:val="22"/>
        </w:rPr>
        <w:t>L’av</w:t>
      </w:r>
      <w:r w:rsidR="0048042D">
        <w:rPr>
          <w:rFonts w:ascii="Helvetica" w:hAnsi="Helvetica"/>
          <w:b/>
          <w:bCs/>
          <w:sz w:val="22"/>
          <w:szCs w:val="22"/>
        </w:rPr>
        <w:t>v</w:t>
      </w:r>
      <w:r w:rsidRPr="004753B2">
        <w:rPr>
          <w:rFonts w:ascii="Helvetica" w:hAnsi="Helvetica"/>
          <w:b/>
          <w:bCs/>
          <w:sz w:val="22"/>
          <w:szCs w:val="22"/>
        </w:rPr>
        <w:t>ocato Paolo Accarino</w:t>
      </w:r>
      <w:r w:rsidRPr="004753B2">
        <w:rPr>
          <w:rFonts w:ascii="Helvetica" w:hAnsi="Helvetica"/>
          <w:sz w:val="22"/>
          <w:szCs w:val="22"/>
        </w:rPr>
        <w:t xml:space="preserve"> ha i</w:t>
      </w:r>
      <w:r w:rsidR="00762579" w:rsidRPr="004753B2">
        <w:rPr>
          <w:rFonts w:ascii="Helvetica" w:hAnsi="Helvetica"/>
          <w:sz w:val="22"/>
          <w:szCs w:val="22"/>
        </w:rPr>
        <w:t>niziato la propria carriera professionale svolgendo la pratica professionale presso l’</w:t>
      </w:r>
      <w:r w:rsidR="0048042D">
        <w:rPr>
          <w:rFonts w:ascii="Helvetica" w:hAnsi="Helvetica"/>
          <w:sz w:val="22"/>
          <w:szCs w:val="22"/>
        </w:rPr>
        <w:t>A</w:t>
      </w:r>
      <w:r w:rsidR="00762579" w:rsidRPr="004753B2">
        <w:rPr>
          <w:rFonts w:ascii="Helvetica" w:hAnsi="Helvetica"/>
          <w:sz w:val="22"/>
          <w:szCs w:val="22"/>
        </w:rPr>
        <w:t>vvocatura distrettuale dello Stato di Salerno</w:t>
      </w:r>
      <w:r w:rsidRPr="004753B2">
        <w:rPr>
          <w:rFonts w:ascii="Helvetica" w:hAnsi="Helvetica"/>
          <w:sz w:val="22"/>
          <w:szCs w:val="22"/>
        </w:rPr>
        <w:t xml:space="preserve"> conseguendo </w:t>
      </w:r>
      <w:r w:rsidR="00762579" w:rsidRPr="004753B2">
        <w:rPr>
          <w:rFonts w:ascii="Helvetica" w:hAnsi="Helvetica"/>
          <w:sz w:val="22"/>
          <w:szCs w:val="22"/>
        </w:rPr>
        <w:t>l’abilitazione di avvocato nel dicembre 2009</w:t>
      </w:r>
      <w:r w:rsidR="0048042D">
        <w:rPr>
          <w:rFonts w:ascii="Helvetica" w:hAnsi="Helvetica"/>
          <w:sz w:val="22"/>
          <w:szCs w:val="22"/>
        </w:rPr>
        <w:t>.</w:t>
      </w:r>
    </w:p>
    <w:p w14:paraId="6B779960" w14:textId="141A479E" w:rsidR="00A315FB" w:rsidRPr="004753B2" w:rsidRDefault="0093402D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4753B2">
        <w:rPr>
          <w:rFonts w:ascii="Helvetica" w:hAnsi="Helvetica"/>
          <w:sz w:val="22"/>
          <w:szCs w:val="22"/>
        </w:rPr>
        <w:t xml:space="preserve">Si è interessato nell’ambito del diritto pubblico nella materia dei concorsi pubblici, di gestione dei contratti di appalto, di pianificazione urbanistica, di questioni edilizie, dei rapporti tra privati e pubbliche amministrazioni, dell’accesso al servizio sanitario regionale obbligatorio. Ha patrocinato presso il </w:t>
      </w:r>
      <w:r w:rsidR="0048042D" w:rsidRPr="0048042D">
        <w:rPr>
          <w:rFonts w:ascii="Helvetica" w:hAnsi="Helvetica"/>
          <w:sz w:val="20"/>
          <w:szCs w:val="20"/>
        </w:rPr>
        <w:t xml:space="preserve">Tribunale Amministrativo Regionale </w:t>
      </w:r>
      <w:r w:rsidRPr="004753B2">
        <w:rPr>
          <w:rFonts w:ascii="Helvetica" w:hAnsi="Helvetica"/>
          <w:sz w:val="22"/>
          <w:szCs w:val="22"/>
        </w:rPr>
        <w:t>della Campania, del Lazio, della Lombardia, dell’Emilia-Romagna, dell’Umbria</w:t>
      </w:r>
      <w:r w:rsidR="00762579" w:rsidRPr="004753B2">
        <w:rPr>
          <w:rFonts w:ascii="Helvetica" w:hAnsi="Helvetica"/>
          <w:sz w:val="22"/>
          <w:szCs w:val="22"/>
        </w:rPr>
        <w:t xml:space="preserve">. </w:t>
      </w:r>
    </w:p>
    <w:p w14:paraId="5C7F2ABC" w14:textId="7F308ED2" w:rsidR="0093402D" w:rsidRPr="004753B2" w:rsidRDefault="00A315FB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hAnsi="Helvetica"/>
          <w:b/>
          <w:bCs/>
          <w:sz w:val="22"/>
          <w:szCs w:val="22"/>
        </w:rPr>
        <w:t>L’av</w:t>
      </w:r>
      <w:r w:rsidR="0048042D">
        <w:rPr>
          <w:rFonts w:ascii="Helvetica" w:hAnsi="Helvetica"/>
          <w:b/>
          <w:bCs/>
          <w:sz w:val="22"/>
          <w:szCs w:val="22"/>
        </w:rPr>
        <w:t>v</w:t>
      </w:r>
      <w:r w:rsidRPr="004753B2">
        <w:rPr>
          <w:rFonts w:ascii="Helvetica" w:hAnsi="Helvetica"/>
          <w:b/>
          <w:bCs/>
          <w:sz w:val="22"/>
          <w:szCs w:val="22"/>
        </w:rPr>
        <w:t>ocato Paolo Accarino</w:t>
      </w:r>
      <w:r w:rsidRPr="004753B2">
        <w:rPr>
          <w:rFonts w:ascii="Helvetica" w:hAnsi="Helvetica"/>
          <w:sz w:val="22"/>
          <w:szCs w:val="22"/>
        </w:rPr>
        <w:t xml:space="preserve">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ha maturato 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sperienz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e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in campo 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giudiziale innanzi: </w:t>
      </w:r>
      <w:r w:rsidR="0093402D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Consiglio di Stato, Corte dei Conti, Tribunali Amministrativi Regionali, Tribunali Civili, Corti di Appello, </w:t>
      </w:r>
      <w:r w:rsidR="0048042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Corti di Giustizia </w:t>
      </w:r>
      <w:r w:rsidR="0093402D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Tributari</w:t>
      </w:r>
      <w:r w:rsidR="0048042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a di I e di II grado</w:t>
      </w:r>
      <w:r w:rsidR="0093402D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.</w:t>
      </w:r>
    </w:p>
    <w:p w14:paraId="53AE46C6" w14:textId="09D0FE17" w:rsidR="0093402D" w:rsidRDefault="0093402D" w:rsidP="004753B2">
      <w:pPr>
        <w:spacing w:after="0" w:line="460" w:lineRule="exact"/>
        <w:jc w:val="both"/>
        <w:rPr>
          <w:rFonts w:ascii="Helvetica" w:hAnsi="Helvetica"/>
          <w:sz w:val="22"/>
          <w:szCs w:val="22"/>
        </w:rPr>
      </w:pPr>
      <w:r w:rsidRPr="004753B2">
        <w:rPr>
          <w:rFonts w:ascii="Helvetica" w:hAnsi="Helvetica"/>
          <w:b/>
          <w:bCs/>
          <w:sz w:val="22"/>
          <w:szCs w:val="22"/>
        </w:rPr>
        <w:t>L’a</w:t>
      </w:r>
      <w:r w:rsidR="0048042D">
        <w:rPr>
          <w:rFonts w:ascii="Helvetica" w:hAnsi="Helvetica"/>
          <w:b/>
          <w:bCs/>
          <w:sz w:val="22"/>
          <w:szCs w:val="22"/>
        </w:rPr>
        <w:t>v</w:t>
      </w:r>
      <w:r w:rsidRPr="004753B2">
        <w:rPr>
          <w:rFonts w:ascii="Helvetica" w:hAnsi="Helvetica"/>
          <w:b/>
          <w:bCs/>
          <w:sz w:val="22"/>
          <w:szCs w:val="22"/>
        </w:rPr>
        <w:t>vocato Paolo Accarino</w:t>
      </w:r>
      <w:r w:rsidRPr="004753B2">
        <w:rPr>
          <w:rFonts w:ascii="Helvetica" w:hAnsi="Helvetica"/>
          <w:sz w:val="22"/>
          <w:szCs w:val="22"/>
        </w:rPr>
        <w:t xml:space="preserve"> e</w:t>
      </w:r>
      <w:r w:rsidRPr="0093402D">
        <w:rPr>
          <w:rFonts w:ascii="Helvetica" w:hAnsi="Helvetica"/>
          <w:sz w:val="22"/>
          <w:szCs w:val="22"/>
        </w:rPr>
        <w:t xml:space="preserve">sercita l’attività di avvocato nel settore del diritto amministrativo, civile e contabile, in favore di privati, Società ed Enti, e </w:t>
      </w:r>
      <w:r w:rsidRPr="004753B2">
        <w:rPr>
          <w:rFonts w:ascii="Helvetica" w:hAnsi="Helvetica"/>
          <w:sz w:val="22"/>
          <w:szCs w:val="22"/>
        </w:rPr>
        <w:t xml:space="preserve">coadiuvato dai collaborati di studio, </w:t>
      </w:r>
      <w:r w:rsidRPr="0093402D">
        <w:rPr>
          <w:rFonts w:ascii="Helvetica" w:hAnsi="Helvetica"/>
          <w:sz w:val="22"/>
          <w:szCs w:val="22"/>
        </w:rPr>
        <w:t>nel settore</w:t>
      </w:r>
      <w:r w:rsidRPr="004753B2">
        <w:rPr>
          <w:rFonts w:ascii="Helvetica" w:hAnsi="Helvetica"/>
          <w:sz w:val="22"/>
          <w:szCs w:val="22"/>
        </w:rPr>
        <w:t xml:space="preserve"> tributario, societario,</w:t>
      </w:r>
      <w:r w:rsidRPr="0093402D">
        <w:rPr>
          <w:rFonts w:ascii="Helvetica" w:hAnsi="Helvetica"/>
          <w:sz w:val="22"/>
          <w:szCs w:val="22"/>
        </w:rPr>
        <w:t xml:space="preserve"> della responsabilità in ambito contrattuale ed extra-contrattuale, professionale, nonché nel settore assicurativo tradizionale.</w:t>
      </w:r>
    </w:p>
    <w:p w14:paraId="7A636105" w14:textId="1046017B" w:rsidR="0048042D" w:rsidRPr="0048042D" w:rsidRDefault="0048042D" w:rsidP="004753B2">
      <w:pPr>
        <w:spacing w:after="0" w:line="460" w:lineRule="exact"/>
        <w:jc w:val="both"/>
        <w:rPr>
          <w:rFonts w:ascii="Helvetica" w:hAnsi="Helvetica"/>
          <w:b/>
          <w:bCs/>
          <w:sz w:val="22"/>
          <w:szCs w:val="22"/>
        </w:rPr>
      </w:pPr>
      <w:r w:rsidRPr="0048042D">
        <w:rPr>
          <w:rFonts w:ascii="Helvetica" w:hAnsi="Helvetica"/>
          <w:b/>
          <w:bCs/>
          <w:sz w:val="22"/>
          <w:szCs w:val="22"/>
        </w:rPr>
        <w:t>I clienti</w:t>
      </w:r>
    </w:p>
    <w:p w14:paraId="3520242B" w14:textId="6B4E515B" w:rsidR="0093402D" w:rsidRPr="004753B2" w:rsidRDefault="009340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4753B2">
        <w:rPr>
          <w:rFonts w:ascii="Helvetica" w:eastAsia="Times New Roman" w:hAnsi="Helvetica" w:cs="Times New Roman"/>
          <w:b/>
          <w:bCs/>
          <w:color w:val="3C3C3B"/>
          <w:kern w:val="0"/>
          <w:sz w:val="22"/>
          <w:szCs w:val="22"/>
          <w:lang w:eastAsia="it-IT"/>
          <w14:ligatures w14:val="none"/>
        </w:rPr>
        <w:t>L’avvocato Paolo Accarino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è stato d</w:t>
      </w:r>
      <w:r w:rsidRPr="00A5320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ifensore e/o consulente di Enti pubblici e privati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. Tra i tanti AISCAT s.p.a., CIRA Centro Italiano Ricerche Aerospaziali, Comune di Pellezzano, Come di Angri, Comune di Fontanarosa,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Metellia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Servizi spa, Ordine dei Farmacisti di Salerno, Federfarma Campania, Laboratori di analisi Cliniche –Esercizio in regime di FKT, Consorzio Riabilitazione e Reinserimento Consorzio Di Cooperative Sociali Onlus, Istituto Autonomo Case Popolari Salerno,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Blachère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Illumination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Societé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Par Actions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Simplifiée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Sicme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Energy e Gas S.r.l., GI. GROUP S.p.a., Lamberti Petroli S.p.a., Luciana Petroli S.r.l. ELA s.r.l., Hotel Aurora, Hotel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Scapolatiello</w:t>
      </w:r>
      <w:proofErr w:type="spellEnd"/>
      <w:r w:rsidR="0048042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Albergo Graal, AVINO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, ditta F.lli Schiavo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; GARDEN, Hotel Toro,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Managing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Hospitality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Albergo Marmorata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Villa Cimbrone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Lara Costruzioni </w:t>
      </w:r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lastRenderedPageBreak/>
        <w:t xml:space="preserve">s.r.l., Confezioni del Rovo S.r.l., Le Ginestre S.r.l., Girasole Cooperativa Sociale, Società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Ghenos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S.r.l., San Giorgio s.p.a., CRTF Centro Di Radiologia E Terapia Fisica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Me.De.A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.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s.p.a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, Stone Art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Srl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unipersonale, Cavallaro Import - Export S.R.L., AB Arredamenti di Aldo e Aniello Barone </w:t>
      </w:r>
      <w:proofErr w:type="spellStart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s.r.l</w:t>
      </w:r>
      <w:proofErr w:type="spellEnd"/>
      <w:r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,, Locanda Costa Diva S.A.S. di Milo Filippo &amp; C., Abbazia della S.S. Trinità della Congregazione Benedettina Cassinese di Cava de’ Tirreni (Ente religioso), IMA Abrasivi.</w:t>
      </w:r>
    </w:p>
    <w:p w14:paraId="6A1B035A" w14:textId="36941369" w:rsidR="0093402D" w:rsidRDefault="009340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  <w:r w:rsidRPr="0093402D">
        <w:rPr>
          <w:rFonts w:ascii="Helvetica" w:eastAsia="Times New Roman" w:hAnsi="Helvetica" w:cs="Times New Roman"/>
          <w:b/>
          <w:color w:val="3C3C3B"/>
          <w:kern w:val="0"/>
          <w:sz w:val="22"/>
          <w:szCs w:val="22"/>
          <w:lang w:eastAsia="it-IT"/>
          <w14:ligatures w14:val="none"/>
        </w:rPr>
        <w:t>Partecipazione all’attività di consulenza</w:t>
      </w:r>
      <w:r w:rsidRPr="0093402D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 per: Comune di Nocera Inferiore, Ausino spa, Comune di Positano, Comune di Siano, Consorzio Area Sviluppo Industriale di Salerno, IVPC Power, Petti S.p.a., Comune di Positano</w:t>
      </w:r>
      <w:r w:rsidR="00B22E99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 xml:space="preserve">; Studio Legale Bocchini -Prof. Avv. Francesco Bocchini </w:t>
      </w:r>
      <w:r w:rsidR="004753B2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Professore presso l’Università Vanvitelli esperto in diritto commerciale, amministrativo, assicurativo e sportivo</w:t>
      </w:r>
      <w:r w:rsidR="00B22E99" w:rsidRPr="004753B2"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  <w:t>.</w:t>
      </w:r>
    </w:p>
    <w:p w14:paraId="626BCE04" w14:textId="77777777" w:rsidR="00A47C9A" w:rsidRDefault="00A47C9A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08A407C3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4D503019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1E1BD82F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3D79E6FE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69DDF60C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290DAF3A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0B761C10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46C875FD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64E38DCE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625751C8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74B97454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5851C0B2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4AD3A313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6396AF7E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2E513ECD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0ADDF59C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05460DB8" w14:textId="77777777" w:rsidR="0048042D" w:rsidRDefault="0048042D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3087599C" w14:textId="5515D97D" w:rsidR="00A47C9A" w:rsidRPr="00A47C9A" w:rsidRDefault="00A47C9A" w:rsidP="00A47C9A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p w14:paraId="31C9E5CB" w14:textId="77777777" w:rsidR="00A47C9A" w:rsidRPr="004753B2" w:rsidRDefault="00A47C9A" w:rsidP="004753B2">
      <w:pPr>
        <w:spacing w:after="0" w:line="460" w:lineRule="exact"/>
        <w:jc w:val="both"/>
        <w:rPr>
          <w:rFonts w:ascii="Helvetica" w:eastAsia="Times New Roman" w:hAnsi="Helvetica" w:cs="Times New Roman"/>
          <w:color w:val="3C3C3B"/>
          <w:kern w:val="0"/>
          <w:sz w:val="22"/>
          <w:szCs w:val="22"/>
          <w:lang w:eastAsia="it-IT"/>
          <w14:ligatures w14:val="none"/>
        </w:rPr>
      </w:pPr>
    </w:p>
    <w:sectPr w:rsidR="00A47C9A" w:rsidRPr="004753B2" w:rsidSect="008F11B4">
      <w:type w:val="continuous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02"/>
    <w:rsid w:val="00082147"/>
    <w:rsid w:val="00150CBC"/>
    <w:rsid w:val="00194390"/>
    <w:rsid w:val="001C62D3"/>
    <w:rsid w:val="002A1ED7"/>
    <w:rsid w:val="0033186F"/>
    <w:rsid w:val="00356BED"/>
    <w:rsid w:val="004753B2"/>
    <w:rsid w:val="0048042D"/>
    <w:rsid w:val="0060362B"/>
    <w:rsid w:val="00762579"/>
    <w:rsid w:val="008B073F"/>
    <w:rsid w:val="008F11B4"/>
    <w:rsid w:val="0093402D"/>
    <w:rsid w:val="00955E53"/>
    <w:rsid w:val="00A315FB"/>
    <w:rsid w:val="00A47C9A"/>
    <w:rsid w:val="00A53202"/>
    <w:rsid w:val="00A6770D"/>
    <w:rsid w:val="00A77354"/>
    <w:rsid w:val="00B22E99"/>
    <w:rsid w:val="00C1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921A"/>
  <w15:chartTrackingRefBased/>
  <w15:docId w15:val="{C4FAE222-15AE-764D-BC50-38463246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5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5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532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532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2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2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2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2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2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32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32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2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20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A53202"/>
  </w:style>
  <w:style w:type="paragraph" w:styleId="NormaleWeb">
    <w:name w:val="Normal (Web)"/>
    <w:basedOn w:val="Normale"/>
    <w:uiPriority w:val="99"/>
    <w:semiHidden/>
    <w:unhideWhenUsed/>
    <w:rsid w:val="00A5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5320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8214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Accarino</dc:creator>
  <cp:keywords/>
  <dc:description/>
  <cp:lastModifiedBy>Francesco Accarino</cp:lastModifiedBy>
  <cp:revision>6</cp:revision>
  <cp:lastPrinted>2025-09-15T08:30:00Z</cp:lastPrinted>
  <dcterms:created xsi:type="dcterms:W3CDTF">2025-09-13T17:29:00Z</dcterms:created>
  <dcterms:modified xsi:type="dcterms:W3CDTF">2025-11-06T09:57:00Z</dcterms:modified>
</cp:coreProperties>
</file>